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371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675" w:lineRule="atLeast"/>
        <w:ind w:left="225" w:right="225" w:firstLine="0"/>
        <w:jc w:val="center"/>
        <w:rPr>
          <w:rFonts w:ascii="黑体" w:hAnsi="宋体" w:eastAsia="黑体" w:cs="黑体"/>
          <w:i w:val="0"/>
          <w:iCs w:val="0"/>
          <w:caps w:val="0"/>
          <w:color w:val="000000"/>
          <w:spacing w:val="0"/>
          <w:sz w:val="42"/>
          <w:szCs w:val="42"/>
        </w:rPr>
      </w:pPr>
      <w:r>
        <w:rPr>
          <w:rFonts w:ascii="黑体" w:hAnsi="宋体" w:eastAsia="黑体" w:cs="黑体"/>
          <w:i w:val="0"/>
          <w:iCs w:val="0"/>
          <w:caps w:val="0"/>
          <w:color w:val="000000"/>
          <w:spacing w:val="0"/>
          <w:sz w:val="42"/>
          <w:szCs w:val="42"/>
          <w:bdr w:val="none" w:color="auto" w:sz="0" w:space="0"/>
        </w:rPr>
        <w:t>中共中央办公厅 国务院办公厅印发《整治形式主义为基层减负若干规定》</w:t>
      </w:r>
    </w:p>
    <w:p w14:paraId="420FA9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0"/>
        <w:jc w:val="center"/>
      </w:pPr>
      <w:r>
        <w:rPr>
          <w:rStyle w:val="6"/>
          <w:bdr w:val="none" w:color="auto" w:sz="0" w:space="0"/>
        </w:rPr>
        <w:t>（2024年7月30日中共中央政治局会议审议批准</w:t>
      </w:r>
    </w:p>
    <w:p w14:paraId="615D95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0"/>
        <w:jc w:val="center"/>
      </w:pPr>
      <w:r>
        <w:rPr>
          <w:rStyle w:val="6"/>
          <w:bdr w:val="none" w:color="auto" w:sz="0" w:space="0"/>
        </w:rPr>
        <w:t>2024年8月6日中共中央办公厅、国务院办公厅发布）</w:t>
      </w:r>
    </w:p>
    <w:p w14:paraId="59A27D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p>
    <w:p w14:paraId="4858AD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为了深化拓展整治形式主义为基层减负，健全为基层减负长效机制，引导广大党员、干部树立和践行正确政绩观，积极担当作为，有更多精力抓落实，制定如下规定。</w:t>
      </w:r>
    </w:p>
    <w:p w14:paraId="5A1034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rStyle w:val="6"/>
          <w:bdr w:val="none" w:color="auto" w:sz="0" w:space="0"/>
        </w:rPr>
        <w:t>一、切实精简文件</w:t>
      </w:r>
    </w:p>
    <w:p w14:paraId="385CC2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1.严控文件数量。地方和部门发文严格实行计划管理、总量管控和发文立项制度，严格控制临时性、配套类、分工类发文。年度实际发文数量一般只减不增，超过上年度的应当向上级党委办公厅（室）书面说明。议事协调机构、部门和单位不得向下级党委和政府发布指令性公文或者在公文中提出指令性要求。加强日常动态监测，防止以“红头”变“白头”、正式改便笺、多文合一等方式规避发文数量管理。</w:t>
      </w:r>
    </w:p>
    <w:p w14:paraId="3EC1AB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2.提升文件质量。坚持“短实新”文风，除部署综合性工作外，地方和部门文件一般不超过5000字，部署专项工作或者具体任务的文件一般不超过4000字。文件应当开门见山、直奔主题，着重提出贯彻落实的政策措施，一般不必阐述形势背景、重要意义、主要原则等内容，确需阐述的应当简明扼要；加强领导、落实责任、组织保障等内容应当精炼。配套文件应当直接提出具体落实措施，不得简单照搬照抄上位文件。</w:t>
      </w:r>
    </w:p>
    <w:p w14:paraId="50F6DC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3.加强评估审查。地方和部门制发文件应当进行与为基层减负一致性评估，加强政策性、合法合规性审查，一般不提出报送贯彻落实情况、制定配套文件的要求；除专门文件外，文件原则上不对机构编制、干部配备、工资福利待遇、创建示范、达标、“一票否决”和签订责任状等事项提出具体要求。</w:t>
      </w:r>
    </w:p>
    <w:p w14:paraId="068266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rStyle w:val="6"/>
          <w:bdr w:val="none" w:color="auto" w:sz="0" w:space="0"/>
        </w:rPr>
        <w:t>二、严格精简会议</w:t>
      </w:r>
    </w:p>
    <w:p w14:paraId="19C8CC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4.严控会议数量。召开会议严格实行计划管理。法定性、制度性会议按照有关规定执行。本系统本领域综合性工作会议，原则上每年不超过1次，各级部门召开的业务工作会议能合并的合并、能精简的精简。各级召开日常性会议应当精简务实、控制频次，可以合并研究审议的事项应当合并。对上级精神不刻意搞开会传达不过夜。未经同级党委主要负责同志批准，不得随意召开直达基层的会议（含电视电话、网络视频会议），对已直接开到基层的，不再层层召开。压减现场观摩会、推进会等频次数量。已制发文件的工作事项原则上不再专门开会部署。市县两级党委和政府对年度综合性会议加大统筹力度，防止年底年初扎堆开会，明显减少乡镇（街道）党政主要负责同志和村（社区）党组织书记、村（居）委会主任参加的会议数量。</w:t>
      </w:r>
    </w:p>
    <w:p w14:paraId="73EC82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5.控制规模规格。严控参会人员范围、层级，只安排与会议主题密切相关的单位参加，不搞层层陪会。合理确定会议规格，由分管负责同志召集部署的会议，一般不要求下级主要负责同志参会。以部门名义召开的会议，未经同级党委批准，不得要求下级党委和政府负责同志参会。不简单以出席会议领导级别对参会人员提出相应级别要求，可由分管负责同志参加的会议不要求主要负责同志参会，可由部门负责同志参加的会议不要求党委和政府负责同志参会。中央部门工作会议一般不安排市县及以下单位参会，省级部门工作会议一般不安排县以下单位参会。</w:t>
      </w:r>
    </w:p>
    <w:p w14:paraId="45E1D2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6.提升质量效率。从严落实开短会、讲短话要求，地方党政主要负责同志同时参加的会议一般不同时讲话，主要负责同志讲话或者会议主报告不超过1小时，有发言安排的应当控制发言时间，不搞一般性工作汇报、表态。安排分组讨论的会议，会期原则上不超过1天半，其他会议一般安排半天以内。能采用电视电话、网络视频形式召开的会议，可不集中开会。</w:t>
      </w:r>
    </w:p>
    <w:p w14:paraId="064192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rStyle w:val="6"/>
          <w:bdr w:val="none" w:color="auto" w:sz="0" w:space="0"/>
        </w:rPr>
        <w:t>三、统筹规范督查检查考核</w:t>
      </w:r>
    </w:p>
    <w:p w14:paraId="0104A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7.严格计划和备案管理。中央和国家机关各部门拟开展的涉及地方党委和政府的综合性督查检查考核事项，按年度计划执行，原则上每部门不超过1项，同类事项应当合并进行，涉及多部门的应当联合开展。加大对部门内设机构和行业系统开展督查检查考核的统筹力度，未经报备不得开展。计划外确需开展的应当一事一报。不得打包报计划、执行搞拆分，不得以调研之名行督查检查考核之实，调研结果不得作为考核问责的依据。不在部门文件、领导讲话等中设定督查检查考核事项。中央和国家机关部门开展的督查检查考核事项，一般不要求地方层层配套开展。每年年初、年中，对拟实地开展的督查检查考核事项加强统筹调度优化，错开时间和地点。除应急类的安全生产、自然灾害防治外，每个省全年平均每月接受中央和国家机关部门实地督查检查考核不超过规定次数，市县乡三级接受上级实地督查检查考核次数，由省级党委参照作出规定。省市县加强对本级督查检查考核事项的计划和备案管理。</w:t>
      </w:r>
    </w:p>
    <w:p w14:paraId="000D12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8.改进方式方法。上级部门到地方督查检查考核调研，不得动辄要求见主要负责同志，不得频繁要求基层填表格报材料。不得将获得领导同志批示以及在刊物和媒体刊发文章信息、经验做法等作为督查检查考核内容。不把是否开会发文、拍照留痕、制作学习笔记等作为评判工作优劣的标准，不得工作刚部署就安排督查检查考核。督查检查考核原则上不召开动员会、反馈会。对督查检查考核结果，应当以适当方式进行反馈，留足整改时间。落实“三个区分开来”，统筹做好追责问责和容错纠错工作，不得以问责代替整改，未经规定程序、事实未查清之前不对干部进行追责问责，防止问责泛化、简单化。压减考核指标，压缩提供材料的文字量，突出考核重点，不层层加码，不“搭车”设置考核内容。不得随意设置“一票否决”和签订责任状事项，不得通过签订承诺书、第三方评估、满意度测评、挂牌督办等方式变相设置考核事项。不得按月度、季度频繁搞排名通报。不得以通报排名的形式变相进行考核。考核应当化繁为简，不搞“千分制”。</w:t>
      </w:r>
    </w:p>
    <w:p w14:paraId="49F90C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9.严控对基层督查检查考核总量。省市县三级党委和政府应当合理统筹对基层的督查检查事项，不得向同一地方反复安排督查检查事项，不得就同一事项层层对同一地方开展督查检查，防止多头重复、集中扎堆。县及以下单位的所有考核事项合并开展，对县、乡、村的考核分别由市、县、乡统一组织实施，其他单位不单独开展考核。</w:t>
      </w:r>
    </w:p>
    <w:p w14:paraId="41615F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rStyle w:val="6"/>
          <w:bdr w:val="none" w:color="auto" w:sz="0" w:space="0"/>
        </w:rPr>
        <w:t>四、规范借调干部</w:t>
      </w:r>
    </w:p>
    <w:p w14:paraId="1154C2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10.不向县及以下单位借调干部。上级机关、单位原则上不得从县及以下单位借调干部。不得以工作专班、跟班学习、交流锻炼等名义变相借调干部。</w:t>
      </w:r>
    </w:p>
    <w:p w14:paraId="6EF6E7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11.严控向市及以上单位借调干部。上级机关、单位从市及以上单位借调干部，应当聚焦工作急需，从严控制数量。确需借调的，应当经本单位党组（党委）审批同意后，报同级党委组织部门备案。借调时间一般不超过6个月，特殊情况需要延期的，延长时间一般不超过6个月，并应当提前征得派出单位和本人同意。</w:t>
      </w:r>
    </w:p>
    <w:p w14:paraId="4EB757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rStyle w:val="6"/>
          <w:bdr w:val="none" w:color="auto" w:sz="0" w:space="0"/>
        </w:rPr>
        <w:t>五、规范政务移动互联网应用程序管理</w:t>
      </w:r>
    </w:p>
    <w:p w14:paraId="0D4F22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12.清理整合面向基层的政务应用程序。中央和国家机关部门原则上最多运行1个面向基层的政务移动互联网应用程序（以下简称政务应用程序），填表报数交材料功能一般不向下延伸到县级；现有多个政务应用程序到基层的，应当逐步清理压减整合。各地区对面向县以下单位的政务应用程序进行清理整合。不得随意向基层要数据材料，需要基层填表报数交材料的，原则上应当通过省级平台报送并推动数据共享，能够通过系统自动生成或者共享获取的数据材料，不再要求基层报送、实现同类材料“最多报一次”，不得再要求重复报送纸质材料，部门不得要求另行报送。市县级政务应用程序的填表报数交材料功能，应当逐步与省级平台相应功能整合统一。</w:t>
      </w:r>
    </w:p>
    <w:p w14:paraId="3601D4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13.严格建设管理。严格政务应用程序立项审核，并纳入统一技术监管，未经信息化项目审批部门批准，不得新建。行业系统已建有统一政务应用程序的，应当向地方开放相关权限，推进垂管系统与地方平台互联互通，地方不再重复建设。除安保、应急等特殊场景规定外，其他各类政务应用程序不得设置打卡签到、积分排名、统计在线时长等强制性功能。</w:t>
      </w:r>
    </w:p>
    <w:p w14:paraId="01E9D1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14.防止功能异化。不得强制推广下载使用政务应用程序，不得考核通报用户安装使用率，不得强制要求定期登录等。不得把政务应用程序异化为工作考核日常化、督查检查线上化的主要载体，不得将点赞量、网络投票数、转发量、学习时长等作为考评依据，非必要不得强制要求下级和基层单位通过政务应用程序上传工作照片、视频和轨迹等。</w:t>
      </w:r>
    </w:p>
    <w:p w14:paraId="12CFCE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rStyle w:val="6"/>
          <w:bdr w:val="none" w:color="auto" w:sz="0" w:space="0"/>
        </w:rPr>
        <w:t>六、规范明晰基层权责</w:t>
      </w:r>
    </w:p>
    <w:p w14:paraId="4CDE06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15.建立健全职责清单。省级党委和政府指导本地区立足实际建立健全乡镇（街道）履行职责事项清单并开展清理规范，加强清单动态管理，推动责权一致、责能一致。村（居）委会依法履行职责，不得将村（社区）作为行政执法、城市管理、招商引资等事务的责任主体。加强对“某长制”、网格员等的统筹规范，不得随意新增事项。</w:t>
      </w:r>
    </w:p>
    <w:p w14:paraId="78FD65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16.完善清单外事项准入制度。未经省级党委和政府统一部署，不得将未列入清单的职责事项擅自向乡镇（街道）下放或者采取授权、委托等形式变相下放，不得随意以落实属地管理、签订责任状、分解下达指标、考核验收、制度上墙等方式将工作任务和责任转嫁乡镇（街道）、村（社区）。对已下放的事项进行清理规范，基层治理迫切需要且能有效承接的事项继续保留，同步下放相关资源；专业性技术性强、经评估无力承接的事项及时调整上收。适合通过市场化方式提供的村（社区）公共服务事项，可依法购买服务。</w:t>
      </w:r>
    </w:p>
    <w:p w14:paraId="78B4DD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17.规范工作机制、挂牌和证明事项。精简整合党政机关和群团组织设立的各类村（社区）工作机制，未经省级党委和政府批准，不得要求村级组织设立各类领导小组、委员会、工作站、协会等工作机构并挂牌、配备力量。省级党委和政府统一规定村（社区）挂牌数量、名称和式样，除法定挂牌外不得增加。党政机关和群团组织不得要求村（社区）出具缺乏法定依据的证明事项，原则上取消金融机构、社会组织等要求村（社区）出具的证明事项。</w:t>
      </w:r>
    </w:p>
    <w:p w14:paraId="1AC2E0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18.依法依规确定基层信访工作职责。不得简单以信访数量的多少评价基层信访工作，对已经复核的信访事项和已经依法终结的涉法涉诉信访事项，不进行排名、通报、考核、问责，使基层将更多精力放到推动矛盾排查化解、维护群众合法权益上来。</w:t>
      </w:r>
    </w:p>
    <w:p w14:paraId="6B3548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rStyle w:val="6"/>
          <w:bdr w:val="none" w:color="auto" w:sz="0" w:space="0"/>
        </w:rPr>
        <w:t>七、规范创建示范和达标活动</w:t>
      </w:r>
    </w:p>
    <w:p w14:paraId="16B4B1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19.精简种类数量。大幅减少各种创建示范和达标活动，未经批准不得新增创建示范和达标活动以及“城市”、“之乡”、“基地”等授牌命名活动。市县级党政机关和群团组织以及乡镇（街道）不开展创建示范活动。不搞创建结果排名。</w:t>
      </w:r>
    </w:p>
    <w:p w14:paraId="3AD3B5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20.注重创建示范实效。创建示范活动不得脱离地方资源禀赋条件和产业发展实际，不得搞“运动式”、“作秀式”、“一阵风”，不对氛围营造提要求，不影响群众正常生产生活。参与创建示范活动的单位应当坚持节俭办事，杜绝浪费，不得举债搞创建。创建示范活动不得收取费用，不得以搞合作、拉赞助等方式变相收取费用。</w:t>
      </w:r>
    </w:p>
    <w:p w14:paraId="3BA02B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21.在基层不搞达标活动。各级党政机关以及群团组织、国有企事业单位、社会组织等不得开展以乡镇（街道）、村（社区）、学校为对象的达标活动。对现有的达标活动进行清理，已经开展的期满后自行取消。</w:t>
      </w:r>
    </w:p>
    <w:p w14:paraId="2C74BC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各地区各部门应当严格执行本规定，建立整治形式主义为基层减负专项工作机制，党委（党组）切实履行主体责任，党委（党组）书记带头执行并抓好贯彻落实，及时纠治本地区本部门存在的突出问题。中央和国家机关各部门应当带头落实。本规定的贯彻落实情况作为巡视巡察、新闻舆论监督等的重要内容。对违反本规定的追责问责，对典型问题予以公开通报。</w:t>
      </w:r>
    </w:p>
    <w:p w14:paraId="3EA11B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firstLine="420"/>
        <w:jc w:val="left"/>
      </w:pPr>
      <w:r>
        <w:rPr>
          <w:bdr w:val="none" w:color="auto" w:sz="0" w:space="0"/>
        </w:rPr>
        <w:t>本规定由中央办公厅负责解释，自发布之日起施行。此前发布的有关规定，凡与本规定不一致的，按照本规定执行。</w:t>
      </w:r>
    </w:p>
    <w:p w14:paraId="6C9B7F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pPr>
    </w:p>
    <w:p w14:paraId="1889937B">
      <w:bookmarkStart w:id="0" w:name="_GoBack"/>
      <w:bookmarkEnd w:id="0"/>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KSOF1D5EAB94">
    <w:panose1 w:val="020B0802040204020203"/>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KSOF29153A75">
    <w:panose1 w:val="020B0502040204020203"/>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04629"/>
    <w:rsid w:val="53004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2026-03-03T01:16:00Z</dcterms:created>
  <dc:creator>lsc</dc:creator>
  <cp:lastModifiedBy>lsc</cp:lastModifiedBy>
  <dcterms:modified xsi:type="dcterms:W3CDTF">2026-03-03T01:18:21Z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22B64EDCE7D14F88B3F6358DA93CF372_11</vt:lpwstr>
  </property>
  <property fmtid="{D5CDD505-2E9C-101B-9397-08002B2CF9AE}" pid="4" name="KSOTemplateDocerSaveRecord">
    <vt:lpwstr>eyJoZGlkIjoiNWQyMDkwMTNiYTNmMjUzMmJmMzA3MjBhOWQ4NDNhMDIiLCJ1c2VySWQiOiI0NDQzNTc5NzQifQ==</vt:lpwstr>
  </property>
</Properties>
</file>